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797"/>
        <w:gridCol w:w="708"/>
        <w:gridCol w:w="1134"/>
        <w:tblGridChange w:id="0">
          <w:tblGrid>
            <w:gridCol w:w="7797"/>
            <w:gridCol w:w="708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Prot. 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CELEBRAZIONE DEL MATRIMONIO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SENZA LA RICHIESTA DELLA PUBBLICAZIONE CIVILE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Layout w:type="fixed"/>
        <w:tblLook w:val="0000"/>
      </w:tblPr>
      <w:tblGrid>
        <w:gridCol w:w="283"/>
        <w:gridCol w:w="568"/>
        <w:gridCol w:w="723"/>
        <w:gridCol w:w="5283"/>
        <w:gridCol w:w="333"/>
        <w:gridCol w:w="2448"/>
        <w:tblGridChange w:id="0">
          <w:tblGrid>
            <w:gridCol w:w="283"/>
            <w:gridCol w:w="568"/>
            <w:gridCol w:w="723"/>
            <w:gridCol w:w="5283"/>
            <w:gridCol w:w="333"/>
            <w:gridCol w:w="244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 signori: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desiderano celebrare il matrimonio nella forma canonica e avvalersi del riconoscimento agli effetti civili assicurato dal Concordato.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Tuttavia chiedono di far precedere alla richiesta delle pubblicazioni presso la Casa comunale la celebrazione del matrimonio per le seguenti motivazioni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640.0" w:type="dxa"/>
        <w:jc w:val="left"/>
        <w:tblInd w:w="-115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 pubblicazioni canoniche sono state eseguite regolarmente.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A parte viene chiesta anche la dispensa dalle pubblicazioni canoniche).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 assicura che, in conformità a quanto disposto dal n. 27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Decreto generale,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l’Atto del matrimonio sarà inviato, entro cinque giorni dalla celebrazione, alla Casa comunale con la richiesta di trascrizione agli effetti civili.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0.9999999999999964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Layout w:type="fixed"/>
        <w:tblLook w:val="0000"/>
      </w:tblPr>
      <w:tblGrid>
        <w:gridCol w:w="1418"/>
        <w:gridCol w:w="221"/>
        <w:gridCol w:w="4598"/>
        <w:gridCol w:w="566"/>
        <w:gridCol w:w="2836"/>
        <w:tblGridChange w:id="0">
          <w:tblGrid>
            <w:gridCol w:w="1418"/>
            <w:gridCol w:w="221"/>
            <w:gridCol w:w="4598"/>
            <w:gridCol w:w="566"/>
            <w:gridCol w:w="2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1) Ad esempio: l’impossibilità di reperire tempestivamente i documenti civili e l’urgenza del matrimonio per impegni improrogabili; le difficoltà connesse con l’età avanzata dei nubendi o il loro stato di salute, ecc.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567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Zich5SZjnNpvPyndTfum404b9w==">AMUW2mXA1Xq8N+oedsoS9//z/nsL4PK17fRgoLWNysUuYLudL/Vev+60WI9+Ccq5YhI3/EfWucg5svlmNxPAHqNeTePXZAPfmFsrGMWU/gMAty+QmD/kWNE=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2004-05-17T09:55:00Z</dcterms:created>
  <dc:creator>VALERIA</dc:creator>
</cp:coreProperties>
</file>